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6A4" w:rsidRPr="006D0B6B" w:rsidRDefault="00DC76A4" w:rsidP="006D0B6B">
      <w:pPr>
        <w:spacing w:line="360" w:lineRule="auto"/>
        <w:jc w:val="center"/>
        <w:rPr>
          <w:rFonts w:cs="B Nazanin"/>
          <w:sz w:val="32"/>
          <w:szCs w:val="32"/>
          <w:rtl/>
        </w:rPr>
      </w:pPr>
      <w:r w:rsidRPr="006D0B6B">
        <w:rPr>
          <w:rFonts w:cs="B Nazanin" w:hint="cs"/>
          <w:sz w:val="32"/>
          <w:szCs w:val="32"/>
          <w:rtl/>
        </w:rPr>
        <w:t>مقایسه اثر 8 هفته تمرینات با توپ و مقاومتی برتعادل کودکان فلج مغزی</w:t>
      </w:r>
    </w:p>
    <w:p w:rsidR="00A530E4" w:rsidRPr="006D0B6B" w:rsidRDefault="00A530E4" w:rsidP="006D0B6B">
      <w:pPr>
        <w:spacing w:line="360" w:lineRule="auto"/>
        <w:jc w:val="both"/>
        <w:rPr>
          <w:rFonts w:cs="B Nazanin" w:hint="cs"/>
          <w:sz w:val="24"/>
          <w:szCs w:val="24"/>
          <w:rtl/>
        </w:rPr>
      </w:pPr>
      <w:bookmarkStart w:id="0" w:name="_GoBack"/>
      <w:bookmarkEnd w:id="0"/>
      <w:r w:rsidRPr="006D0B6B">
        <w:rPr>
          <w:rFonts w:cs="B Nazanin" w:hint="cs"/>
          <w:b/>
          <w:bCs/>
          <w:sz w:val="24"/>
          <w:szCs w:val="24"/>
          <w:rtl/>
        </w:rPr>
        <w:t>چکیده</w:t>
      </w:r>
      <w:r w:rsidRPr="006D0B6B">
        <w:rPr>
          <w:rFonts w:cs="B Nazanin" w:hint="cs"/>
          <w:sz w:val="24"/>
          <w:szCs w:val="24"/>
          <w:rtl/>
        </w:rPr>
        <w:t>:</w:t>
      </w:r>
    </w:p>
    <w:p w:rsidR="00A530E4" w:rsidRPr="006D0B6B" w:rsidRDefault="00A530E4" w:rsidP="006D0B6B">
      <w:pPr>
        <w:spacing w:line="360" w:lineRule="auto"/>
        <w:jc w:val="both"/>
        <w:rPr>
          <w:rFonts w:cs="B Nazanin"/>
        </w:rPr>
      </w:pPr>
      <w:r w:rsidRPr="006D0B6B">
        <w:rPr>
          <w:rFonts w:cs="B Nazanin" w:hint="cs"/>
          <w:sz w:val="24"/>
          <w:szCs w:val="24"/>
          <w:rtl/>
        </w:rPr>
        <w:t>تحقیق حاضر با هدف تعیین اختلاف اثر هشت هفته تمرینات با توپ و مقاومتی بر تعادل کودکان فلج مغزی انجام شد.</w:t>
      </w:r>
    </w:p>
    <w:p w:rsidR="00A530E4" w:rsidRPr="006D0B6B" w:rsidRDefault="00A530E4" w:rsidP="006D0B6B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6D0B6B">
        <w:rPr>
          <w:rFonts w:cs="B Nazanin" w:hint="cs"/>
          <w:sz w:val="24"/>
          <w:szCs w:val="24"/>
          <w:rtl/>
        </w:rPr>
        <w:t xml:space="preserve">20 دانش‌آموز فلج مغزی </w:t>
      </w:r>
      <w:r w:rsidRPr="006D0B6B">
        <w:rPr>
          <w:rFonts w:ascii="Times New Roman" w:hAnsi="Times New Roman" w:cs="B Nazanin" w:hint="cs"/>
          <w:sz w:val="24"/>
          <w:szCs w:val="24"/>
          <w:rtl/>
        </w:rPr>
        <w:t>از بین دانش آموزان فلج مغزی اتتوئید شاغل به تحصیل شهر شیراز به صورت نمونه</w:t>
      </w:r>
      <w:r w:rsidRPr="006D0B6B">
        <w:rPr>
          <w:rFonts w:ascii="Times New Roman" w:hAnsi="Times New Roman" w:cs="B Nazanin" w:hint="cs"/>
          <w:sz w:val="24"/>
          <w:szCs w:val="24"/>
          <w:rtl/>
        </w:rPr>
        <w:softHyphen/>
        <w:t>گیری داوطلبانه و در دسترس انتخاب شدند</w:t>
      </w:r>
      <w:r w:rsidRPr="006D0B6B">
        <w:rPr>
          <w:rFonts w:ascii="Times New Roman" w:hAnsi="Times New Roman" w:cs="B Nazanin" w:hint="cs"/>
          <w:sz w:val="24"/>
          <w:szCs w:val="24"/>
          <w:rtl/>
        </w:rPr>
        <w:t>.</w:t>
      </w:r>
      <w:r w:rsidRPr="006D0B6B">
        <w:rPr>
          <w:rFonts w:cs="B Nazanin" w:hint="cs"/>
          <w:sz w:val="24"/>
          <w:szCs w:val="24"/>
          <w:rtl/>
        </w:rPr>
        <w:t xml:space="preserve"> </w:t>
      </w:r>
      <w:r w:rsidRPr="006D0B6B">
        <w:rPr>
          <w:rFonts w:cs="B Nazanin" w:hint="cs"/>
          <w:sz w:val="24"/>
          <w:szCs w:val="24"/>
          <w:rtl/>
        </w:rPr>
        <w:t xml:space="preserve">پس از پیش‌آزمون تعادل‌های ایستا و پویا </w:t>
      </w:r>
      <w:r w:rsidRPr="006D0B6B">
        <w:rPr>
          <w:rFonts w:cs="B Nazanin" w:hint="cs"/>
          <w:sz w:val="24"/>
          <w:szCs w:val="24"/>
          <w:rtl/>
        </w:rPr>
        <w:t>(</w:t>
      </w:r>
      <w:r w:rsidRPr="006D0B6B">
        <w:rPr>
          <w:rFonts w:ascii="Times New Roman" w:hAnsi="Times New Roman" w:cs="B Nazanin" w:hint="cs"/>
          <w:sz w:val="24"/>
          <w:szCs w:val="24"/>
          <w:rtl/>
        </w:rPr>
        <w:t>آزمون دسترسی عملکردی برای ارزیابی تعادل ایستا و آزمون زمان رفت و برگشت برای ارزیابی تعادل پویا</w:t>
      </w:r>
      <w:r w:rsidRPr="006D0B6B">
        <w:rPr>
          <w:rFonts w:cs="B Nazanin" w:hint="cs"/>
          <w:sz w:val="24"/>
          <w:szCs w:val="24"/>
          <w:rtl/>
        </w:rPr>
        <w:t xml:space="preserve">) </w:t>
      </w:r>
      <w:r w:rsidRPr="006D0B6B">
        <w:rPr>
          <w:rFonts w:cs="B Nazanin" w:hint="cs"/>
          <w:sz w:val="24"/>
          <w:szCs w:val="24"/>
          <w:rtl/>
        </w:rPr>
        <w:t>و همتاسازی در دو گروه تمرینات توپی و مقاومتی تقسیم شدند</w:t>
      </w:r>
      <w:r w:rsidR="00EF14E5" w:rsidRPr="006D0B6B">
        <w:rPr>
          <w:rFonts w:cs="B Nazanin"/>
          <w:sz w:val="24"/>
          <w:szCs w:val="24"/>
          <w:rtl/>
        </w:rPr>
        <w:t>(</w:t>
      </w:r>
      <w:r w:rsidR="00EF14E5" w:rsidRPr="006D0B6B">
        <w:rPr>
          <w:rFonts w:cs="B Nazanin" w:hint="cs"/>
          <w:sz w:val="24"/>
          <w:szCs w:val="24"/>
          <w:rtl/>
        </w:rPr>
        <w:t>اصلانخانی،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فارسی،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رضایی،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زمانی‌ثانی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و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اقدسی،</w:t>
      </w:r>
      <w:r w:rsidR="00EF14E5" w:rsidRPr="006D0B6B">
        <w:rPr>
          <w:rFonts w:cs="B Nazanin"/>
          <w:sz w:val="24"/>
          <w:szCs w:val="24"/>
          <w:rtl/>
        </w:rPr>
        <w:t xml:space="preserve"> 2015</w:t>
      </w:r>
      <w:r w:rsidR="00EF14E5" w:rsidRPr="006D0B6B">
        <w:rPr>
          <w:rFonts w:cs="B Nazanin" w:hint="cs"/>
          <w:sz w:val="24"/>
          <w:szCs w:val="24"/>
          <w:rtl/>
        </w:rPr>
        <w:t>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هادوی،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فراهانی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و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ایزدی،</w:t>
      </w:r>
      <w:r w:rsidR="00EF14E5" w:rsidRPr="006D0B6B">
        <w:rPr>
          <w:rFonts w:cs="B Nazanin"/>
          <w:sz w:val="24"/>
          <w:szCs w:val="24"/>
          <w:rtl/>
        </w:rPr>
        <w:t xml:space="preserve"> 1392 </w:t>
      </w:r>
      <w:r w:rsidR="00EF14E5" w:rsidRPr="006D0B6B">
        <w:rPr>
          <w:rFonts w:cs="B Nazanin" w:hint="cs"/>
          <w:sz w:val="24"/>
          <w:szCs w:val="24"/>
          <w:rtl/>
        </w:rPr>
        <w:t>و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لاتریدو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و</w:t>
      </w:r>
      <w:r w:rsidR="00EF14E5" w:rsidRPr="006D0B6B">
        <w:rPr>
          <w:rFonts w:cs="B Nazanin"/>
          <w:sz w:val="24"/>
          <w:szCs w:val="24"/>
          <w:rtl/>
        </w:rPr>
        <w:t xml:space="preserve"> </w:t>
      </w:r>
      <w:r w:rsidR="00EF14E5" w:rsidRPr="006D0B6B">
        <w:rPr>
          <w:rFonts w:cs="B Nazanin" w:hint="cs"/>
          <w:sz w:val="24"/>
          <w:szCs w:val="24"/>
          <w:rtl/>
        </w:rPr>
        <w:t>دیونیسیوتیس</w:t>
      </w:r>
      <w:r w:rsidR="00642F81" w:rsidRPr="006D0B6B">
        <w:rPr>
          <w:rStyle w:val="FootnoteReference"/>
          <w:rFonts w:cs="B Nazanin"/>
          <w:sz w:val="24"/>
          <w:szCs w:val="24"/>
          <w:rtl/>
        </w:rPr>
        <w:footnoteReference w:id="1"/>
      </w:r>
      <w:r w:rsidR="00EF14E5" w:rsidRPr="006D0B6B">
        <w:rPr>
          <w:rFonts w:cs="B Nazanin" w:hint="cs"/>
          <w:sz w:val="24"/>
          <w:szCs w:val="24"/>
          <w:rtl/>
        </w:rPr>
        <w:t>،</w:t>
      </w:r>
      <w:r w:rsidR="00EF14E5" w:rsidRPr="006D0B6B">
        <w:rPr>
          <w:rFonts w:cs="B Nazanin"/>
          <w:sz w:val="24"/>
          <w:szCs w:val="24"/>
          <w:rtl/>
        </w:rPr>
        <w:t xml:space="preserve"> 2013)</w:t>
      </w:r>
      <w:r w:rsidRPr="006D0B6B">
        <w:rPr>
          <w:rFonts w:cs="B Nazanin" w:hint="cs"/>
          <w:sz w:val="24"/>
          <w:szCs w:val="24"/>
          <w:rtl/>
        </w:rPr>
        <w:t>. تمرینات به مدت 8 هفته (هفته‌ای 3 جلسه و هر جلسه به مدت 30 دقیقه) با رعایت اصول تمرین انجام شد.</w:t>
      </w:r>
      <w:r w:rsidRPr="006D0B6B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6D0B6B">
        <w:rPr>
          <w:rFonts w:ascii="Times New Roman" w:hAnsi="Times New Roman" w:cs="B Nazanin" w:hint="cs"/>
          <w:sz w:val="24"/>
          <w:szCs w:val="24"/>
          <w:rtl/>
        </w:rPr>
        <w:t>بعد از دوره مشخص شده از هر دو گروه پس آزمون به عمل آمد.</w:t>
      </w:r>
    </w:p>
    <w:p w:rsidR="00A530E4" w:rsidRPr="006D0B6B" w:rsidRDefault="00A530E4" w:rsidP="006D0B6B">
      <w:pPr>
        <w:spacing w:line="360" w:lineRule="auto"/>
        <w:jc w:val="both"/>
        <w:rPr>
          <w:rFonts w:cs="B Nazanin"/>
        </w:rPr>
      </w:pPr>
      <w:r w:rsidRPr="006D0B6B">
        <w:rPr>
          <w:rFonts w:cs="B Nazanin" w:hint="cs"/>
          <w:sz w:val="24"/>
          <w:szCs w:val="24"/>
          <w:rtl/>
        </w:rPr>
        <w:t>با توجه به یافته‌های این پژوهش، تمرینات توپی و مقاومتی بر تعادل ایستای کودکان فلج مغزی تأثیر یکسانی دارند اما تمرینات مقاومتی بر تعادل پویای این کودکان مؤثرتر از تمرینات توپی است.</w:t>
      </w:r>
    </w:p>
    <w:p w:rsidR="00A530E4" w:rsidRPr="006D0B6B" w:rsidRDefault="00A530E4" w:rsidP="006D0B6B">
      <w:pPr>
        <w:spacing w:line="360" w:lineRule="auto"/>
        <w:jc w:val="both"/>
        <w:rPr>
          <w:rFonts w:cs="B Nazanin"/>
        </w:rPr>
      </w:pPr>
      <w:r w:rsidRPr="006D0B6B">
        <w:rPr>
          <w:rFonts w:cs="B Nazanin" w:hint="cs"/>
          <w:sz w:val="24"/>
          <w:szCs w:val="24"/>
          <w:rtl/>
        </w:rPr>
        <w:t xml:space="preserve">تمرینات توپی و مقاومتی در تعادل ایستا بر یکدیگر برتری ندارند(849/0 = </w:t>
      </w:r>
      <w:r w:rsidRPr="006D0B6B">
        <w:rPr>
          <w:rFonts w:cs="B Nazanin"/>
          <w:sz w:val="24"/>
          <w:szCs w:val="24"/>
        </w:rPr>
        <w:t>P</w:t>
      </w:r>
      <w:r w:rsidRPr="006D0B6B">
        <w:rPr>
          <w:rFonts w:cs="B Nazanin" w:hint="cs"/>
          <w:sz w:val="24"/>
          <w:szCs w:val="24"/>
          <w:rtl/>
        </w:rPr>
        <w:t xml:space="preserve">)، اما در تعادل پویا، تمرینات مقاومتی مؤثرتر از تمرینات توپی بودند(026/0 = </w:t>
      </w:r>
      <w:r w:rsidRPr="006D0B6B">
        <w:rPr>
          <w:rFonts w:cs="B Nazanin"/>
          <w:sz w:val="24"/>
          <w:szCs w:val="24"/>
        </w:rPr>
        <w:t>P</w:t>
      </w:r>
      <w:r w:rsidRPr="006D0B6B">
        <w:rPr>
          <w:rFonts w:cs="B Nazanin" w:hint="cs"/>
          <w:sz w:val="24"/>
          <w:szCs w:val="24"/>
          <w:rtl/>
        </w:rPr>
        <w:t>).</w:t>
      </w:r>
      <w:r w:rsidRPr="006D0B6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D0B6B">
        <w:rPr>
          <w:rFonts w:cs="B Nazanin" w:hint="cs"/>
          <w:sz w:val="24"/>
          <w:szCs w:val="24"/>
          <w:rtl/>
        </w:rPr>
        <w:t>با توجه به این‌که تعادل ایستا در اثر نوع تمرین تغییر نکرد، بنابراین به‌نظر می‌رسد در این گروه انجام هرگونه تمرین مشابه می‌تواند به تغییرات تعادل ایستا منجر شود و به نوع تمرین بستگی ندارد. علاوه‌براین در این‌گونه کودکان به‌نظر می‌رسد که تعادل بیشتر به عوامل عضلانی وابسته است.</w:t>
      </w:r>
    </w:p>
    <w:p w:rsidR="00A530E4" w:rsidRPr="006D0B6B" w:rsidRDefault="00A530E4" w:rsidP="006D0B6B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6D0B6B">
        <w:rPr>
          <w:rFonts w:cs="B Nazanin" w:hint="cs"/>
          <w:b/>
          <w:bCs/>
          <w:sz w:val="24"/>
          <w:szCs w:val="24"/>
          <w:rtl/>
        </w:rPr>
        <w:lastRenderedPageBreak/>
        <w:t xml:space="preserve">کلیدواژه‌ها: </w:t>
      </w:r>
      <w:r w:rsidRPr="006D0B6B">
        <w:rPr>
          <w:rFonts w:cs="B Nazanin" w:hint="cs"/>
          <w:sz w:val="24"/>
          <w:szCs w:val="24"/>
          <w:rtl/>
        </w:rPr>
        <w:t>کودک فلج مغزی، تعادل ایستا، تعادل پویا، تمرینات توپی، تمرینات مقاومتی</w:t>
      </w:r>
      <w:r w:rsidR="00EF14E5" w:rsidRPr="006D0B6B">
        <w:rPr>
          <w:rFonts w:cs="B Nazanin" w:hint="cs"/>
          <w:sz w:val="24"/>
          <w:szCs w:val="24"/>
          <w:rtl/>
        </w:rPr>
        <w:t>.</w:t>
      </w:r>
    </w:p>
    <w:p w:rsidR="00EF14E5" w:rsidRPr="006D0B6B" w:rsidRDefault="00EF14E5" w:rsidP="006D0B6B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D0B6B">
        <w:rPr>
          <w:rFonts w:cs="B Nazanin" w:hint="cs"/>
          <w:b/>
          <w:bCs/>
          <w:sz w:val="24"/>
          <w:szCs w:val="24"/>
          <w:rtl/>
        </w:rPr>
        <w:t>منابع فارسی:</w:t>
      </w:r>
    </w:p>
    <w:p w:rsidR="00EF14E5" w:rsidRPr="00EF14E5" w:rsidRDefault="00EF14E5" w:rsidP="006D0B6B">
      <w:pPr>
        <w:spacing w:line="360" w:lineRule="auto"/>
        <w:ind w:left="549" w:hanging="567"/>
        <w:jc w:val="both"/>
        <w:rPr>
          <w:rFonts w:cs="B Nazanin"/>
          <w:sz w:val="24"/>
          <w:szCs w:val="24"/>
          <w:rtl/>
        </w:rPr>
      </w:pPr>
      <w:r w:rsidRPr="00EF14E5">
        <w:rPr>
          <w:rFonts w:cs="B Nazanin" w:hint="cs"/>
          <w:sz w:val="24"/>
          <w:szCs w:val="24"/>
          <w:rtl/>
        </w:rPr>
        <w:t>اصلانخانی، محمدعلی؛ فارسی، علیرضا؛ فتحی رضایی، زهرا؛ زمانی‌ثانی، سیدحجت و اقدسی،    محمدتقی (2015). روایی و پایایی آزمون‌های برخاستن و راه رفتن زماندار و دسترسی عملکردی قدامی برای ارزیابی زمین خوردن در سالمندان. سالمند، شماره 10.</w:t>
      </w:r>
    </w:p>
    <w:p w:rsidR="00EF14E5" w:rsidRPr="006D0B6B" w:rsidRDefault="00EF14E5" w:rsidP="006D0B6B">
      <w:pPr>
        <w:spacing w:line="360" w:lineRule="auto"/>
        <w:ind w:left="549" w:hanging="549"/>
        <w:rPr>
          <w:rFonts w:cs="B Nazanin"/>
          <w:sz w:val="24"/>
          <w:szCs w:val="24"/>
          <w:rtl/>
        </w:rPr>
      </w:pPr>
      <w:r w:rsidRPr="00EF14E5">
        <w:rPr>
          <w:rFonts w:cs="B Nazanin" w:hint="cs"/>
          <w:sz w:val="24"/>
          <w:szCs w:val="24"/>
          <w:rtl/>
        </w:rPr>
        <w:t>هادوی، فریده؛ فراهانی، ابوالفضل و ایزدی، علیرضا (1392). اندازه گیری،سنجش و ارزشیابی در تربیت بدنی. تهران: انتشارات حتمی.</w:t>
      </w:r>
    </w:p>
    <w:p w:rsidR="00EF14E5" w:rsidRPr="006D0B6B" w:rsidRDefault="00EF14E5" w:rsidP="006D0B6B">
      <w:pPr>
        <w:spacing w:line="360" w:lineRule="auto"/>
        <w:ind w:left="549" w:hanging="549"/>
        <w:rPr>
          <w:rFonts w:cs="B Nazanin"/>
          <w:b/>
          <w:bCs/>
          <w:sz w:val="24"/>
          <w:szCs w:val="24"/>
          <w:rtl/>
        </w:rPr>
      </w:pPr>
      <w:r w:rsidRPr="006D0B6B">
        <w:rPr>
          <w:rFonts w:cs="B Nazanin" w:hint="cs"/>
          <w:b/>
          <w:bCs/>
          <w:sz w:val="24"/>
          <w:szCs w:val="24"/>
          <w:rtl/>
        </w:rPr>
        <w:t>منابع انگلیسی:</w:t>
      </w:r>
    </w:p>
    <w:p w:rsidR="00EF14E5" w:rsidRPr="006D0B6B" w:rsidRDefault="00EF14E5" w:rsidP="006D0B6B">
      <w:pPr>
        <w:pStyle w:val="EndNoteBibliography"/>
        <w:spacing w:line="360" w:lineRule="auto"/>
        <w:ind w:left="851" w:hanging="851"/>
        <w:rPr>
          <w:rFonts w:cs="B Nazanin"/>
          <w:rtl/>
        </w:rPr>
      </w:pPr>
      <w:r w:rsidRPr="006D0B6B">
        <w:rPr>
          <w:rFonts w:cs="B Nazanin"/>
        </w:rPr>
        <w:t>Iatridou, G. and Y. Dionyssiotis (</w:t>
      </w:r>
      <w:r w:rsidRPr="006D0B6B">
        <w:rPr>
          <w:rFonts w:cs="B Nazanin"/>
          <w:rtl/>
        </w:rPr>
        <w:t>2013</w:t>
      </w:r>
      <w:r w:rsidRPr="006D0B6B">
        <w:rPr>
          <w:rFonts w:cs="B Nazanin"/>
        </w:rPr>
        <w:t xml:space="preserve">). "Reliability of balance evaluation in children with cerebral palsy." </w:t>
      </w:r>
      <w:r w:rsidRPr="006D0B6B">
        <w:rPr>
          <w:rFonts w:cs="B Nazanin"/>
          <w:u w:val="single"/>
        </w:rPr>
        <w:t>Hippokratia</w:t>
      </w:r>
      <w:r w:rsidRPr="006D0B6B">
        <w:rPr>
          <w:rFonts w:cs="B Nazanin"/>
        </w:rPr>
        <w:t xml:space="preserve"> </w:t>
      </w:r>
      <w:r w:rsidRPr="006D0B6B">
        <w:rPr>
          <w:rFonts w:cs="B Nazanin"/>
          <w:b/>
          <w:rtl/>
        </w:rPr>
        <w:t>17</w:t>
      </w:r>
      <w:r w:rsidRPr="006D0B6B">
        <w:rPr>
          <w:rFonts w:cs="B Nazanin"/>
        </w:rPr>
        <w:t>(</w:t>
      </w:r>
      <w:r w:rsidRPr="006D0B6B">
        <w:rPr>
          <w:rFonts w:cs="B Nazanin"/>
          <w:rtl/>
        </w:rPr>
        <w:t>4</w:t>
      </w:r>
      <w:r w:rsidRPr="006D0B6B">
        <w:rPr>
          <w:rFonts w:cs="B Nazanin"/>
        </w:rPr>
        <w:t xml:space="preserve">): </w:t>
      </w:r>
      <w:r w:rsidRPr="006D0B6B">
        <w:rPr>
          <w:rFonts w:cs="B Nazanin"/>
          <w:rtl/>
        </w:rPr>
        <w:t>303.</w:t>
      </w:r>
    </w:p>
    <w:p w:rsidR="00EF14E5" w:rsidRPr="006D0B6B" w:rsidRDefault="00EF14E5" w:rsidP="006D0B6B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EF14E5" w:rsidRPr="006D0B6B" w:rsidRDefault="00EF14E5" w:rsidP="006D0B6B">
      <w:pPr>
        <w:spacing w:line="360" w:lineRule="auto"/>
        <w:jc w:val="both"/>
        <w:rPr>
          <w:rFonts w:cs="B Nazanin"/>
          <w:sz w:val="24"/>
          <w:szCs w:val="24"/>
        </w:rPr>
      </w:pPr>
      <w:r w:rsidRPr="006D0B6B">
        <w:rPr>
          <w:rFonts w:cs="B Nazanin" w:hint="cs"/>
          <w:sz w:val="24"/>
          <w:szCs w:val="24"/>
          <w:rtl/>
        </w:rPr>
        <w:t>کدام روش زیر را برای ارائه مقاله خود ترجیح می دهید:</w:t>
      </w:r>
    </w:p>
    <w:p w:rsidR="00EF14E5" w:rsidRPr="006D0B6B" w:rsidRDefault="00EF14E5" w:rsidP="006D0B6B">
      <w:pPr>
        <w:spacing w:line="360" w:lineRule="auto"/>
        <w:jc w:val="both"/>
        <w:rPr>
          <w:rFonts w:cs="B Nazanin" w:hint="cs"/>
          <w:rtl/>
        </w:rPr>
      </w:pPr>
      <w:r w:rsidRPr="006D0B6B">
        <w:rPr>
          <w:rFonts w:cs="B Nazanin" w:hint="cs"/>
          <w:sz w:val="24"/>
          <w:szCs w:val="24"/>
          <w:rtl/>
        </w:rPr>
        <w:t xml:space="preserve">سخنرانی </w:t>
      </w:r>
      <w:r w:rsidRPr="006D0B6B">
        <w:rPr>
          <w:rFonts w:ascii="Arial" w:hAnsi="Arial" w:cs="Arial" w:hint="cs"/>
          <w:sz w:val="24"/>
          <w:szCs w:val="24"/>
          <w:rtl/>
        </w:rPr>
        <w:t>●</w:t>
      </w:r>
      <w:r w:rsidRPr="006D0B6B">
        <w:rPr>
          <w:rFonts w:cs="B Nazanin" w:hint="cs"/>
          <w:sz w:val="24"/>
          <w:szCs w:val="24"/>
          <w:rtl/>
        </w:rPr>
        <w:t xml:space="preserve">          پوستر</w:t>
      </w:r>
      <w:r w:rsidRPr="006D0B6B">
        <w:rPr>
          <w:rFonts w:cs="B Nazanin"/>
          <w:sz w:val="24"/>
          <w:szCs w:val="24"/>
        </w:rPr>
        <w:t>○</w:t>
      </w:r>
    </w:p>
    <w:sectPr w:rsidR="00EF14E5" w:rsidRPr="006D0B6B" w:rsidSect="00DC76A4">
      <w:pgSz w:w="12240" w:h="15840"/>
      <w:pgMar w:top="2160" w:right="2160" w:bottom="2160" w:left="216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9D7" w:rsidRDefault="00A259D7" w:rsidP="00642F81">
      <w:pPr>
        <w:spacing w:after="0" w:line="240" w:lineRule="auto"/>
      </w:pPr>
      <w:r>
        <w:separator/>
      </w:r>
    </w:p>
  </w:endnote>
  <w:endnote w:type="continuationSeparator" w:id="0">
    <w:p w:rsidR="00A259D7" w:rsidRDefault="00A259D7" w:rsidP="0064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9D7" w:rsidRDefault="00A259D7" w:rsidP="00642F81">
      <w:pPr>
        <w:spacing w:after="0" w:line="240" w:lineRule="auto"/>
      </w:pPr>
      <w:r>
        <w:separator/>
      </w:r>
    </w:p>
  </w:footnote>
  <w:footnote w:type="continuationSeparator" w:id="0">
    <w:p w:rsidR="00A259D7" w:rsidRDefault="00A259D7" w:rsidP="00642F81">
      <w:pPr>
        <w:spacing w:after="0" w:line="240" w:lineRule="auto"/>
      </w:pPr>
      <w:r>
        <w:continuationSeparator/>
      </w:r>
    </w:p>
  </w:footnote>
  <w:footnote w:id="1">
    <w:p w:rsidR="00642F81" w:rsidRDefault="00642F81" w:rsidP="00642F81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proofErr w:type="spellStart"/>
      <w:r w:rsidRPr="00642F81">
        <w:rPr>
          <w:rFonts w:asciiTheme="majorBidi" w:hAnsiTheme="majorBidi" w:cstheme="majorBidi"/>
        </w:rPr>
        <w:t>Latridou</w:t>
      </w:r>
      <w:proofErr w:type="spellEnd"/>
      <w:r w:rsidRPr="00642F81">
        <w:rPr>
          <w:rFonts w:asciiTheme="majorBidi" w:hAnsiTheme="majorBidi" w:cstheme="majorBidi"/>
        </w:rPr>
        <w:t xml:space="preserve"> &amp; </w:t>
      </w:r>
      <w:proofErr w:type="spellStart"/>
      <w:r w:rsidRPr="00642F81">
        <w:rPr>
          <w:rFonts w:asciiTheme="majorBidi" w:hAnsiTheme="majorBidi" w:cstheme="majorBidi"/>
        </w:rPr>
        <w:t>Dionyssiotis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A4"/>
    <w:rsid w:val="00534DCE"/>
    <w:rsid w:val="00642F81"/>
    <w:rsid w:val="006D0B6B"/>
    <w:rsid w:val="008A27D2"/>
    <w:rsid w:val="00A259D7"/>
    <w:rsid w:val="00A530E4"/>
    <w:rsid w:val="00AF00F7"/>
    <w:rsid w:val="00DC76A4"/>
    <w:rsid w:val="00EF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DEF64"/>
  <w15:chartTrackingRefBased/>
  <w15:docId w15:val="{A77A1893-1D9C-45FB-9492-939C1F0A9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6A4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30E4"/>
    <w:rPr>
      <w:color w:val="0563C1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EF14E5"/>
    <w:pPr>
      <w:spacing w:line="240" w:lineRule="auto"/>
      <w:jc w:val="both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14E5"/>
    <w:rPr>
      <w:rFonts w:ascii="Calibri" w:hAnsi="Calibri"/>
      <w:noProof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2F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2F81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42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C62E4-E4C7-4A4D-AE04-D4636B20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</dc:creator>
  <cp:keywords/>
  <dc:description/>
  <cp:lastModifiedBy>BARAN</cp:lastModifiedBy>
  <cp:revision>2</cp:revision>
  <dcterms:created xsi:type="dcterms:W3CDTF">2016-12-05T20:11:00Z</dcterms:created>
  <dcterms:modified xsi:type="dcterms:W3CDTF">2016-12-05T20:11:00Z</dcterms:modified>
</cp:coreProperties>
</file>